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11030D" w:rsidRDefault="001F75B5">
      <w:pPr>
        <w:spacing w:line="200" w:lineRule="exact"/>
        <w:rPr>
          <w:rFonts w:ascii="Times New Roman" w:eastAsia="Times New Roman" w:hAnsi="Times New Roman"/>
          <w:sz w:val="24"/>
        </w:rPr>
      </w:pPr>
      <w:bookmarkStart w:id="0" w:name="page1"/>
      <w:bookmarkEnd w:id="0"/>
      <w:r>
        <w:rPr>
          <w:rFonts w:ascii="Times New Roman" w:hAnsi="Times New Roman" w:cs="Times New Roman"/>
          <w:noProof/>
          <w:sz w:val="24"/>
          <w:szCs w:val="24"/>
        </w:rPr>
        <w:drawing>
          <wp:anchor distT="0" distB="0" distL="114300" distR="114300" simplePos="0" relativeHeight="251661824" behindDoc="1" locked="0" layoutInCell="1" allowOverlap="1" wp14:anchorId="3D0D9737" wp14:editId="4D6EE2B6">
            <wp:simplePos x="0" y="0"/>
            <wp:positionH relativeFrom="column">
              <wp:posOffset>187325</wp:posOffset>
            </wp:positionH>
            <wp:positionV relativeFrom="paragraph">
              <wp:posOffset>0</wp:posOffset>
            </wp:positionV>
            <wp:extent cx="2254250" cy="2273300"/>
            <wp:effectExtent l="0" t="0" r="0" b="0"/>
            <wp:wrapTight wrapText="bothSides">
              <wp:wrapPolygon edited="0">
                <wp:start x="0" y="0"/>
                <wp:lineTo x="0" y="21359"/>
                <wp:lineTo x="21357" y="21359"/>
                <wp:lineTo x="2135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254250" cy="2273300"/>
                    </a:xfrm>
                    <a:prstGeom prst="rect">
                      <a:avLst/>
                    </a:prstGeom>
                    <a:noFill/>
                  </pic:spPr>
                </pic:pic>
              </a:graphicData>
            </a:graphic>
            <wp14:sizeRelH relativeFrom="page">
              <wp14:pctWidth>0</wp14:pctWidth>
            </wp14:sizeRelH>
            <wp14:sizeRelV relativeFrom="page">
              <wp14:pctHeight>0</wp14:pctHeight>
            </wp14:sizeRelV>
          </wp:anchor>
        </w:drawing>
      </w:r>
      <w:r w:rsidR="00222003">
        <w:rPr>
          <w:noProof/>
        </w:rPr>
        <w:drawing>
          <wp:anchor distT="0" distB="0" distL="114300" distR="114300" simplePos="0" relativeHeight="251655680" behindDoc="1" locked="0" layoutInCell="1" allowOverlap="1">
            <wp:simplePos x="0" y="0"/>
            <wp:positionH relativeFrom="page">
              <wp:posOffset>269875</wp:posOffset>
            </wp:positionH>
            <wp:positionV relativeFrom="page">
              <wp:posOffset>304800</wp:posOffset>
            </wp:positionV>
            <wp:extent cx="10118725" cy="6951980"/>
            <wp:effectExtent l="0" t="0" r="0"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18725" cy="6951980"/>
                    </a:xfrm>
                    <a:prstGeom prst="rect">
                      <a:avLst/>
                    </a:prstGeom>
                    <a:noFill/>
                  </pic:spPr>
                </pic:pic>
              </a:graphicData>
            </a:graphic>
            <wp14:sizeRelH relativeFrom="page">
              <wp14:pctWidth>0</wp14:pctWidth>
            </wp14:sizeRelH>
            <wp14:sizeRelV relativeFrom="page">
              <wp14:pctHeight>0</wp14:pctHeight>
            </wp14:sizeRelV>
          </wp:anchor>
        </w:drawing>
      </w:r>
    </w:p>
    <w:p w:rsidR="0011030D" w:rsidRDefault="0011030D">
      <w:pPr>
        <w:spacing w:line="240" w:lineRule="exact"/>
        <w:rPr>
          <w:rFonts w:ascii="Times New Roman" w:eastAsia="Times New Roman" w:hAnsi="Times New Roman"/>
          <w:sz w:val="24"/>
        </w:rPr>
      </w:pPr>
    </w:p>
    <w:p w:rsidR="0011030D" w:rsidRDefault="00C334B6">
      <w:pPr>
        <w:spacing w:line="0" w:lineRule="atLeast"/>
        <w:ind w:left="9740"/>
        <w:rPr>
          <w:rFonts w:ascii="Century Gothic" w:eastAsia="Century Gothic" w:hAnsi="Century Gothic"/>
          <w:color w:val="00B050"/>
          <w:sz w:val="56"/>
        </w:rPr>
      </w:pPr>
      <w:r>
        <w:rPr>
          <w:rFonts w:ascii="Century Gothic" w:eastAsia="Century Gothic" w:hAnsi="Century Gothic"/>
          <w:color w:val="00B050"/>
          <w:sz w:val="56"/>
        </w:rPr>
        <w:t>Ormskirk West End</w:t>
      </w:r>
    </w:p>
    <w:p w:rsidR="0011030D" w:rsidRDefault="0011030D">
      <w:pPr>
        <w:spacing w:line="217" w:lineRule="exact"/>
        <w:rPr>
          <w:rFonts w:ascii="Times New Roman" w:eastAsia="Times New Roman" w:hAnsi="Times New Roman"/>
          <w:sz w:val="24"/>
        </w:rPr>
      </w:pPr>
    </w:p>
    <w:p w:rsidR="0011030D" w:rsidRDefault="00C334B6">
      <w:pPr>
        <w:spacing w:line="0" w:lineRule="atLeast"/>
        <w:ind w:left="11080"/>
        <w:rPr>
          <w:rFonts w:ascii="Century Gothic" w:eastAsia="Century Gothic" w:hAnsi="Century Gothic"/>
          <w:color w:val="808080"/>
          <w:sz w:val="40"/>
        </w:rPr>
      </w:pPr>
      <w:r>
        <w:rPr>
          <w:rFonts w:ascii="Century Gothic" w:eastAsia="Century Gothic" w:hAnsi="Century Gothic"/>
          <w:color w:val="808080"/>
          <w:sz w:val="40"/>
        </w:rPr>
        <w:t>Primary School</w:t>
      </w:r>
    </w:p>
    <w:p w:rsidR="0011030D" w:rsidRDefault="0011030D">
      <w:pPr>
        <w:spacing w:line="200" w:lineRule="exact"/>
        <w:rPr>
          <w:rFonts w:ascii="Times New Roman" w:eastAsia="Times New Roman" w:hAnsi="Times New Roman"/>
          <w:sz w:val="24"/>
        </w:rPr>
      </w:pPr>
    </w:p>
    <w:p w:rsidR="0011030D" w:rsidRDefault="0011030D">
      <w:pPr>
        <w:spacing w:line="200" w:lineRule="exact"/>
        <w:rPr>
          <w:rFonts w:ascii="Times New Roman" w:eastAsia="Times New Roman" w:hAnsi="Times New Roman"/>
          <w:sz w:val="24"/>
        </w:rPr>
      </w:pPr>
    </w:p>
    <w:p w:rsidR="0011030D" w:rsidRDefault="0011030D">
      <w:pPr>
        <w:spacing w:line="200" w:lineRule="exact"/>
        <w:rPr>
          <w:rFonts w:ascii="Times New Roman" w:eastAsia="Times New Roman" w:hAnsi="Times New Roman"/>
          <w:sz w:val="24"/>
        </w:rPr>
      </w:pPr>
    </w:p>
    <w:p w:rsidR="0011030D" w:rsidRDefault="0011030D">
      <w:pPr>
        <w:spacing w:line="238" w:lineRule="exact"/>
        <w:rPr>
          <w:rFonts w:ascii="Times New Roman" w:eastAsia="Times New Roman" w:hAnsi="Times New Roman"/>
          <w:sz w:val="24"/>
        </w:rPr>
      </w:pPr>
    </w:p>
    <w:p w:rsidR="0011030D" w:rsidRDefault="00C334B6">
      <w:pPr>
        <w:spacing w:line="0" w:lineRule="atLeast"/>
        <w:ind w:left="10600"/>
        <w:rPr>
          <w:rFonts w:ascii="Century Gothic" w:eastAsia="Century Gothic" w:hAnsi="Century Gothic"/>
          <w:b/>
          <w:color w:val="FFFFFF"/>
          <w:sz w:val="23"/>
        </w:rPr>
      </w:pPr>
      <w:r>
        <w:rPr>
          <w:rFonts w:ascii="Century Gothic" w:eastAsia="Century Gothic" w:hAnsi="Century Gothic"/>
          <w:b/>
          <w:color w:val="FFFFFF"/>
          <w:sz w:val="23"/>
        </w:rPr>
        <w:t>From Tiny Acorns, Mighty Oaks Grow.</w:t>
      </w:r>
    </w:p>
    <w:p w:rsidR="0011030D" w:rsidRDefault="0011030D">
      <w:pPr>
        <w:spacing w:line="200" w:lineRule="exact"/>
        <w:rPr>
          <w:rFonts w:ascii="Times New Roman" w:eastAsia="Times New Roman" w:hAnsi="Times New Roman"/>
          <w:sz w:val="24"/>
        </w:rPr>
      </w:pPr>
    </w:p>
    <w:p w:rsidR="0011030D" w:rsidRDefault="0011030D">
      <w:pPr>
        <w:spacing w:line="324" w:lineRule="exact"/>
        <w:rPr>
          <w:rFonts w:ascii="Times New Roman" w:eastAsia="Times New Roman" w:hAnsi="Times New Roman"/>
          <w:sz w:val="24"/>
        </w:rPr>
      </w:pPr>
    </w:p>
    <w:p w:rsidR="0011030D" w:rsidRDefault="00C334B6">
      <w:pPr>
        <w:spacing w:line="0" w:lineRule="atLeast"/>
        <w:ind w:left="11440"/>
        <w:rPr>
          <w:rFonts w:ascii="Century Gothic" w:eastAsia="Century Gothic" w:hAnsi="Century Gothic"/>
          <w:b/>
          <w:color w:val="FFFFFF"/>
          <w:sz w:val="22"/>
        </w:rPr>
      </w:pPr>
      <w:r>
        <w:rPr>
          <w:rFonts w:ascii="Century Gothic" w:eastAsia="Century Gothic" w:hAnsi="Century Gothic"/>
          <w:b/>
          <w:color w:val="FFFFFF"/>
          <w:sz w:val="22"/>
        </w:rPr>
        <w:t>Community Primary ages 4-11</w:t>
      </w:r>
    </w:p>
    <w:p w:rsidR="0011030D" w:rsidRDefault="0011030D">
      <w:pPr>
        <w:spacing w:line="200" w:lineRule="exact"/>
        <w:rPr>
          <w:rFonts w:ascii="Times New Roman" w:eastAsia="Times New Roman" w:hAnsi="Times New Roman"/>
          <w:sz w:val="24"/>
        </w:rPr>
      </w:pPr>
    </w:p>
    <w:p w:rsidR="0011030D" w:rsidRDefault="0011030D">
      <w:pPr>
        <w:spacing w:line="200" w:lineRule="exact"/>
        <w:rPr>
          <w:rFonts w:ascii="Times New Roman" w:eastAsia="Times New Roman" w:hAnsi="Times New Roman"/>
          <w:sz w:val="24"/>
        </w:rPr>
      </w:pPr>
    </w:p>
    <w:p w:rsidR="0011030D" w:rsidRDefault="0011030D">
      <w:pPr>
        <w:spacing w:line="200" w:lineRule="exact"/>
        <w:rPr>
          <w:rFonts w:ascii="Times New Roman" w:eastAsia="Times New Roman" w:hAnsi="Times New Roman"/>
          <w:sz w:val="24"/>
        </w:rPr>
      </w:pPr>
    </w:p>
    <w:p w:rsidR="0011030D" w:rsidRDefault="0011030D">
      <w:pPr>
        <w:spacing w:line="200" w:lineRule="exact"/>
        <w:rPr>
          <w:rFonts w:ascii="Times New Roman" w:eastAsia="Times New Roman" w:hAnsi="Times New Roman"/>
          <w:sz w:val="24"/>
        </w:rPr>
      </w:pPr>
    </w:p>
    <w:p w:rsidR="0011030D" w:rsidRDefault="0011030D">
      <w:pPr>
        <w:spacing w:line="200" w:lineRule="exact"/>
        <w:rPr>
          <w:rFonts w:ascii="Times New Roman" w:eastAsia="Times New Roman" w:hAnsi="Times New Roman"/>
          <w:sz w:val="24"/>
        </w:rPr>
      </w:pPr>
    </w:p>
    <w:p w:rsidR="0011030D" w:rsidRDefault="0011030D">
      <w:pPr>
        <w:spacing w:line="200" w:lineRule="exact"/>
        <w:rPr>
          <w:rFonts w:ascii="Times New Roman" w:eastAsia="Times New Roman" w:hAnsi="Times New Roman"/>
          <w:sz w:val="24"/>
        </w:rPr>
      </w:pPr>
    </w:p>
    <w:p w:rsidR="0011030D" w:rsidRDefault="0011030D">
      <w:pPr>
        <w:spacing w:line="200" w:lineRule="exact"/>
        <w:rPr>
          <w:rFonts w:ascii="Times New Roman" w:eastAsia="Times New Roman" w:hAnsi="Times New Roman"/>
          <w:sz w:val="24"/>
        </w:rPr>
      </w:pPr>
    </w:p>
    <w:p w:rsidR="0011030D" w:rsidRDefault="0011030D">
      <w:pPr>
        <w:spacing w:line="200" w:lineRule="exact"/>
        <w:rPr>
          <w:rFonts w:ascii="Times New Roman" w:eastAsia="Times New Roman" w:hAnsi="Times New Roman"/>
          <w:sz w:val="24"/>
        </w:rPr>
      </w:pPr>
    </w:p>
    <w:p w:rsidR="0011030D" w:rsidRDefault="0011030D">
      <w:pPr>
        <w:spacing w:line="284" w:lineRule="exact"/>
        <w:rPr>
          <w:rFonts w:ascii="Times New Roman" w:eastAsia="Times New Roman" w:hAnsi="Times New Roman"/>
          <w:sz w:val="24"/>
        </w:rPr>
      </w:pPr>
    </w:p>
    <w:p w:rsidR="0011030D" w:rsidRDefault="00442D3D">
      <w:pPr>
        <w:spacing w:line="0" w:lineRule="atLeast"/>
        <w:ind w:right="6740"/>
        <w:jc w:val="center"/>
        <w:rPr>
          <w:rFonts w:ascii="Century Gothic" w:eastAsia="Century Gothic" w:hAnsi="Century Gothic"/>
          <w:b/>
          <w:color w:val="FFFFFF"/>
          <w:sz w:val="95"/>
        </w:rPr>
      </w:pPr>
      <w:r>
        <w:rPr>
          <w:rFonts w:ascii="Century Gothic" w:eastAsia="Century Gothic" w:hAnsi="Century Gothic"/>
          <w:b/>
          <w:color w:val="FFFFFF"/>
          <w:sz w:val="95"/>
        </w:rPr>
        <w:t xml:space="preserve">Pupil </w:t>
      </w:r>
      <w:proofErr w:type="spellStart"/>
      <w:r>
        <w:rPr>
          <w:rFonts w:ascii="Century Gothic" w:eastAsia="Century Gothic" w:hAnsi="Century Gothic"/>
          <w:b/>
          <w:color w:val="FFFFFF"/>
          <w:sz w:val="95"/>
        </w:rPr>
        <w:t>Premiun</w:t>
      </w:r>
      <w:proofErr w:type="spellEnd"/>
    </w:p>
    <w:p w:rsidR="0011030D" w:rsidRDefault="0011030D">
      <w:pPr>
        <w:spacing w:line="90" w:lineRule="exact"/>
        <w:rPr>
          <w:rFonts w:ascii="Times New Roman" w:eastAsia="Times New Roman" w:hAnsi="Times New Roman"/>
          <w:sz w:val="24"/>
        </w:rPr>
      </w:pPr>
    </w:p>
    <w:p w:rsidR="0011030D" w:rsidRDefault="00C334B6">
      <w:pPr>
        <w:spacing w:line="0" w:lineRule="atLeast"/>
        <w:ind w:right="6740"/>
        <w:jc w:val="center"/>
        <w:rPr>
          <w:rFonts w:ascii="Century Gothic" w:eastAsia="Century Gothic" w:hAnsi="Century Gothic"/>
          <w:b/>
          <w:color w:val="FFFFFF"/>
          <w:sz w:val="96"/>
        </w:rPr>
      </w:pPr>
      <w:r>
        <w:rPr>
          <w:rFonts w:ascii="Century Gothic" w:eastAsia="Century Gothic" w:hAnsi="Century Gothic"/>
          <w:b/>
          <w:color w:val="FFFFFF"/>
          <w:sz w:val="96"/>
        </w:rPr>
        <w:t>Policy</w:t>
      </w:r>
    </w:p>
    <w:p w:rsidR="0011030D" w:rsidRDefault="0011030D">
      <w:pPr>
        <w:spacing w:line="0" w:lineRule="atLeast"/>
        <w:ind w:right="6740"/>
        <w:jc w:val="center"/>
        <w:rPr>
          <w:rFonts w:ascii="Century Gothic" w:eastAsia="Century Gothic" w:hAnsi="Century Gothic"/>
          <w:b/>
          <w:color w:val="FFFFFF"/>
          <w:sz w:val="96"/>
        </w:rPr>
        <w:sectPr w:rsidR="0011030D">
          <w:pgSz w:w="16840" w:h="11906" w:orient="landscape"/>
          <w:pgMar w:top="1440" w:right="1318" w:bottom="1043" w:left="620" w:header="0" w:footer="0" w:gutter="0"/>
          <w:cols w:space="0" w:equalWidth="0">
            <w:col w:w="14900"/>
          </w:cols>
          <w:docGrid w:linePitch="360"/>
        </w:sectPr>
      </w:pPr>
    </w:p>
    <w:p w:rsidR="0011030D" w:rsidRDefault="0011030D">
      <w:pPr>
        <w:spacing w:line="200" w:lineRule="exact"/>
        <w:rPr>
          <w:rFonts w:ascii="Times New Roman" w:eastAsia="Times New Roman" w:hAnsi="Times New Roman"/>
          <w:sz w:val="24"/>
        </w:rPr>
      </w:pPr>
    </w:p>
    <w:p w:rsidR="0011030D" w:rsidRDefault="0011030D">
      <w:pPr>
        <w:spacing w:line="325" w:lineRule="exact"/>
        <w:rPr>
          <w:rFonts w:ascii="Times New Roman" w:eastAsia="Times New Roman" w:hAnsi="Times New Roman"/>
          <w:sz w:val="24"/>
        </w:rPr>
      </w:pPr>
    </w:p>
    <w:p w:rsidR="0011030D" w:rsidRDefault="009129A0">
      <w:pPr>
        <w:spacing w:line="0" w:lineRule="atLeast"/>
        <w:rPr>
          <w:rFonts w:ascii="Century Gothic" w:eastAsia="Century Gothic" w:hAnsi="Century Gothic"/>
          <w:b/>
          <w:color w:val="FFFFFF"/>
          <w:sz w:val="22"/>
        </w:rPr>
      </w:pPr>
      <w:r>
        <w:rPr>
          <w:rFonts w:ascii="Century Gothic" w:eastAsia="Century Gothic" w:hAnsi="Century Gothic"/>
          <w:b/>
          <w:color w:val="FFFFFF"/>
          <w:sz w:val="22"/>
        </w:rPr>
        <w:t xml:space="preserve">Approved: </w:t>
      </w:r>
      <w:r w:rsidR="00442D3D">
        <w:rPr>
          <w:rFonts w:ascii="Century Gothic" w:eastAsia="Century Gothic" w:hAnsi="Century Gothic"/>
          <w:b/>
          <w:color w:val="FFFFFF"/>
          <w:sz w:val="22"/>
        </w:rPr>
        <w:t>Spring 2026</w:t>
      </w:r>
    </w:p>
    <w:p w:rsidR="0011030D" w:rsidRDefault="00C334B6">
      <w:pPr>
        <w:spacing w:line="200" w:lineRule="exact"/>
        <w:rPr>
          <w:rFonts w:ascii="Times New Roman" w:eastAsia="Times New Roman" w:hAnsi="Times New Roman"/>
          <w:sz w:val="24"/>
        </w:rPr>
      </w:pPr>
      <w:r>
        <w:rPr>
          <w:rFonts w:ascii="Century Gothic" w:eastAsia="Century Gothic" w:hAnsi="Century Gothic"/>
          <w:b/>
          <w:color w:val="FFFFFF"/>
          <w:sz w:val="22"/>
        </w:rPr>
        <w:br w:type="column"/>
      </w:r>
    </w:p>
    <w:p w:rsidR="0011030D" w:rsidRDefault="0011030D">
      <w:pPr>
        <w:spacing w:line="325" w:lineRule="exact"/>
        <w:rPr>
          <w:rFonts w:ascii="Times New Roman" w:eastAsia="Times New Roman" w:hAnsi="Times New Roman"/>
          <w:sz w:val="24"/>
        </w:rPr>
      </w:pPr>
    </w:p>
    <w:p w:rsidR="0011030D" w:rsidRDefault="009129A0">
      <w:pPr>
        <w:spacing w:line="0" w:lineRule="atLeast"/>
        <w:rPr>
          <w:rFonts w:ascii="Century Gothic" w:eastAsia="Century Gothic" w:hAnsi="Century Gothic"/>
          <w:color w:val="FFFFFF"/>
          <w:sz w:val="22"/>
        </w:rPr>
        <w:sectPr w:rsidR="0011030D">
          <w:type w:val="continuous"/>
          <w:pgSz w:w="16840" w:h="11906" w:orient="landscape"/>
          <w:pgMar w:top="1440" w:right="1318" w:bottom="1043" w:left="620" w:header="0" w:footer="0" w:gutter="0"/>
          <w:cols w:num="2" w:space="0" w:equalWidth="0">
            <w:col w:w="2940" w:space="260"/>
            <w:col w:w="11700"/>
          </w:cols>
          <w:docGrid w:linePitch="360"/>
        </w:sectPr>
      </w:pPr>
      <w:r>
        <w:rPr>
          <w:rFonts w:ascii="Century Gothic" w:eastAsia="Century Gothic" w:hAnsi="Century Gothic"/>
          <w:color w:val="FFFFFF"/>
          <w:sz w:val="22"/>
        </w:rPr>
        <w:t xml:space="preserve">Next Review Date: </w:t>
      </w:r>
      <w:r w:rsidR="00442D3D">
        <w:rPr>
          <w:rFonts w:ascii="Century Gothic" w:eastAsia="Century Gothic" w:hAnsi="Century Gothic"/>
          <w:color w:val="FFFFFF"/>
          <w:sz w:val="22"/>
        </w:rPr>
        <w:t>Spring 2028</w:t>
      </w:r>
    </w:p>
    <w:bookmarkStart w:id="1" w:name="page2"/>
    <w:bookmarkEnd w:id="1"/>
    <w:p w:rsidR="0011030D" w:rsidRDefault="00222003">
      <w:pPr>
        <w:spacing w:line="0" w:lineRule="atLeast"/>
        <w:ind w:right="-1"/>
        <w:jc w:val="center"/>
        <w:rPr>
          <w:rFonts w:ascii="Century Gothic" w:eastAsia="Century Gothic" w:hAnsi="Century Gothic"/>
          <w:b/>
          <w:sz w:val="32"/>
        </w:rPr>
      </w:pPr>
      <w:r>
        <w:rPr>
          <w:rFonts w:ascii="Century Gothic" w:eastAsia="Century Gothic" w:hAnsi="Century Gothic"/>
          <w:noProof/>
          <w:color w:val="FFFFFF"/>
          <w:sz w:val="22"/>
        </w:rPr>
        <w:lastRenderedPageBreak/>
        <mc:AlternateContent>
          <mc:Choice Requires="wps">
            <w:drawing>
              <wp:anchor distT="0" distB="0" distL="114300" distR="114300" simplePos="0" relativeHeight="251656704" behindDoc="1" locked="0" layoutInCell="1" allowOverlap="1">
                <wp:simplePos x="0" y="0"/>
                <wp:positionH relativeFrom="page">
                  <wp:posOffset>304800</wp:posOffset>
                </wp:positionH>
                <wp:positionV relativeFrom="page">
                  <wp:posOffset>307340</wp:posOffset>
                </wp:positionV>
                <wp:extent cx="10083800" cy="0"/>
                <wp:effectExtent l="9525" t="12065" r="12700" b="6985"/>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83800" cy="0"/>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7E5E7F4B" id="Line 3" o:spid="_x0000_s1026" style="position:absolute;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4pt,24.2pt" to="818pt,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" strokeweight=".16931mm">
                <w10:wrap anchorx="page" anchory="page"/>
              </v:line>
            </w:pict>
          </mc:Fallback>
        </mc:AlternateContent>
      </w:r>
      <w:r>
        <w:rPr>
          <w:rFonts w:ascii="Century Gothic" w:eastAsia="Century Gothic" w:hAnsi="Century Gothic"/>
          <w:noProof/>
          <w:color w:val="FFFFFF"/>
          <w:sz w:val="22"/>
        </w:rPr>
        <mc:AlternateContent>
          <mc:Choice Requires="wps">
            <w:drawing>
              <wp:anchor distT="0" distB="0" distL="114300" distR="114300" simplePos="0" relativeHeight="251657728" behindDoc="1" locked="0" layoutInCell="1" allowOverlap="1">
                <wp:simplePos x="0" y="0"/>
                <wp:positionH relativeFrom="page">
                  <wp:posOffset>307340</wp:posOffset>
                </wp:positionH>
                <wp:positionV relativeFrom="page">
                  <wp:posOffset>304800</wp:posOffset>
                </wp:positionV>
                <wp:extent cx="0" cy="6951980"/>
                <wp:effectExtent l="12065" t="9525" r="6985" b="10795"/>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51980"/>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7802F69E" id="Line 4" o:spid="_x0000_s1026" style="position:absolute;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4.2pt,24pt" to="24.2pt,57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" strokeweight=".16931mm">
                <w10:wrap anchorx="page" anchory="page"/>
              </v:line>
            </w:pict>
          </mc:Fallback>
        </mc:AlternateContent>
      </w:r>
      <w:r>
        <w:rPr>
          <w:rFonts w:ascii="Century Gothic" w:eastAsia="Century Gothic" w:hAnsi="Century Gothic"/>
          <w:noProof/>
          <w:color w:val="FFFFFF"/>
          <w:sz w:val="22"/>
        </w:rPr>
        <mc:AlternateContent>
          <mc:Choice Requires="wps">
            <w:drawing>
              <wp:anchor distT="0" distB="0" distL="114300" distR="114300" simplePos="0" relativeHeight="251658752" behindDoc="1" locked="0" layoutInCell="1" allowOverlap="1">
                <wp:simplePos x="0" y="0"/>
                <wp:positionH relativeFrom="page">
                  <wp:posOffset>10385425</wp:posOffset>
                </wp:positionH>
                <wp:positionV relativeFrom="page">
                  <wp:posOffset>304800</wp:posOffset>
                </wp:positionV>
                <wp:extent cx="0" cy="6951980"/>
                <wp:effectExtent l="12700" t="9525" r="6350" b="10795"/>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51980"/>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3A5D812D" id="Line 5" o:spid="_x0000_s1026" style="position:absolute;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17.75pt,24pt" to="817.75pt,57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" strokeweight=".16931mm">
                <w10:wrap anchorx="page" anchory="page"/>
              </v:line>
            </w:pict>
          </mc:Fallback>
        </mc:AlternateContent>
      </w:r>
      <w:r w:rsidR="00C334B6">
        <w:rPr>
          <w:rFonts w:ascii="Century Gothic" w:eastAsia="Century Gothic" w:hAnsi="Century Gothic"/>
          <w:b/>
          <w:sz w:val="32"/>
        </w:rPr>
        <w:t>Ormskirk West End Admissions Policy</w:t>
      </w:r>
    </w:p>
    <w:p w:rsidR="0011030D" w:rsidRDefault="0011030D">
      <w:pPr>
        <w:spacing w:line="200" w:lineRule="exact"/>
        <w:rPr>
          <w:rFonts w:ascii="Times New Roman" w:eastAsia="Times New Roman" w:hAnsi="Times New Roman"/>
        </w:rPr>
      </w:pPr>
    </w:p>
    <w:p w:rsidR="0011030D" w:rsidRDefault="0011030D">
      <w:pPr>
        <w:spacing w:line="200" w:lineRule="exact"/>
        <w:rPr>
          <w:rFonts w:ascii="Times New Roman" w:eastAsia="Times New Roman" w:hAnsi="Times New Roman"/>
        </w:rPr>
      </w:pPr>
    </w:p>
    <w:p w:rsidR="0011030D" w:rsidRDefault="0011030D">
      <w:pPr>
        <w:spacing w:line="200" w:lineRule="exact"/>
        <w:rPr>
          <w:rFonts w:ascii="Times New Roman" w:eastAsia="Times New Roman" w:hAnsi="Times New Roman"/>
        </w:rPr>
      </w:pP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 xml:space="preserve">Policy for Effective Pupil Premium Spending </w:t>
      </w:r>
    </w:p>
    <w:p w:rsidR="00442D3D" w:rsidRPr="00442D3D" w:rsidRDefault="00442D3D" w:rsidP="00442D3D">
      <w:pPr>
        <w:pStyle w:val="NormalWeb"/>
        <w:rPr>
          <w:rFonts w:ascii="Century Gothic" w:hAnsi="Century Gothic"/>
          <w:b/>
          <w:color w:val="000000"/>
        </w:rPr>
      </w:pPr>
      <w:r w:rsidRPr="00442D3D">
        <w:rPr>
          <w:rFonts w:ascii="Century Gothic" w:hAnsi="Century Gothic"/>
          <w:b/>
          <w:color w:val="000000"/>
        </w:rPr>
        <w:t>Background</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 xml:space="preserve">The Pupil Premium is allocated by local authorities, or the </w:t>
      </w:r>
      <w:proofErr w:type="spellStart"/>
      <w:r w:rsidRPr="00442D3D">
        <w:rPr>
          <w:rFonts w:ascii="Century Gothic" w:hAnsi="Century Gothic"/>
          <w:color w:val="000000"/>
        </w:rPr>
        <w:t>DfE</w:t>
      </w:r>
      <w:proofErr w:type="spellEnd"/>
      <w:r w:rsidRPr="00442D3D">
        <w:rPr>
          <w:rFonts w:ascii="Century Gothic" w:hAnsi="Century Gothic"/>
          <w:color w:val="000000"/>
        </w:rPr>
        <w:t xml:space="preserve">, to publicly funded schools and academies with pupils between Foundation Stage 2 and Year 11, on roll in January of each year, that are known to have been eligible for free school meals (FSM) at any time in the last six years (so-called Ever 6 Pupils). Each of these pupils attracts £1515 in the financial year 2025-26 in the Primary phase. Early Years Premium is another funding stream which attracts £1 per hour for each eligible pupil, up to a maximum of £570 per year per pupil. Schools have the freedom to spend the Pupil Premium, which is additional to their underlying budget, in a way they think will best support raising the achievement of funded pupils in comparison with their non-Pupil Premium peers within the school and nationally, whatever their academic starting point and potential. Whilst we recognise that eligible children are referred to as ‘Disadvantaged’ by Ofsted in reports, and in Analysing School Performance (ASP) and Inspection Dashboard Summary Report (IDSR) data, we prefer to use the terms ‘Pupil Premium’ or ‘Pupil Premium </w:t>
      </w:r>
      <w:proofErr w:type="spellStart"/>
      <w:r w:rsidRPr="00442D3D">
        <w:rPr>
          <w:rFonts w:ascii="Century Gothic" w:hAnsi="Century Gothic"/>
          <w:color w:val="000000"/>
        </w:rPr>
        <w:t>Plus’</w:t>
      </w:r>
      <w:proofErr w:type="spellEnd"/>
      <w:r w:rsidRPr="00442D3D">
        <w:rPr>
          <w:rFonts w:ascii="Century Gothic" w:hAnsi="Century Gothic"/>
          <w:color w:val="000000"/>
        </w:rPr>
        <w:t xml:space="preserve"> because of their more positive connotations.</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 xml:space="preserve">Pupil Premium Plus pupils are children looked after (CLAs) and are entitled to £2630 in the financial year 2025-26. Schools are accountable to the LA Virtual School </w:t>
      </w:r>
      <w:proofErr w:type="spellStart"/>
      <w:r w:rsidRPr="00442D3D">
        <w:rPr>
          <w:rFonts w:ascii="Century Gothic" w:hAnsi="Century Gothic"/>
          <w:color w:val="000000"/>
        </w:rPr>
        <w:t>Headteacher</w:t>
      </w:r>
      <w:proofErr w:type="spellEnd"/>
      <w:r w:rsidRPr="00442D3D">
        <w:rPr>
          <w:rFonts w:ascii="Century Gothic" w:hAnsi="Century Gothic"/>
          <w:color w:val="000000"/>
        </w:rPr>
        <w:t xml:space="preserve"> (VSH) for the ways in which CLA funding is spent, so it may be held back until the VSH is satisfied with the school’s plans in respect of each pupil (Personal Education Plan or PEP). Post LAC pupils are those who have been adopted out of LA care, and their £2630 funding may be overseen by the VSH in some local authorities.</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Service Premium pupils are eligible for £350 of funding but are not deemed to be ‘Disadvantaged’. We welcome parents applying for this funding, but we will not include reference to these pupils or their funding on our website for security reasons.</w:t>
      </w:r>
    </w:p>
    <w:p w:rsidR="00442D3D" w:rsidRDefault="00442D3D" w:rsidP="00442D3D">
      <w:pPr>
        <w:pStyle w:val="NormalWeb"/>
        <w:rPr>
          <w:rFonts w:ascii="Century Gothic" w:hAnsi="Century Gothic"/>
          <w:color w:val="000000"/>
        </w:rPr>
      </w:pPr>
      <w:bookmarkStart w:id="2" w:name="_GoBack"/>
      <w:bookmarkEnd w:id="2"/>
    </w:p>
    <w:p w:rsidR="00442D3D" w:rsidRDefault="00442D3D" w:rsidP="00442D3D">
      <w:pPr>
        <w:pStyle w:val="NormalWeb"/>
        <w:rPr>
          <w:rFonts w:ascii="Century Gothic" w:hAnsi="Century Gothic"/>
          <w:color w:val="000000"/>
        </w:rPr>
      </w:pP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The targeted and strategic use of Pupil Premium will support us in achieving our overall vision.</w:t>
      </w:r>
    </w:p>
    <w:p w:rsidR="00442D3D" w:rsidRPr="00442D3D" w:rsidRDefault="00442D3D" w:rsidP="00442D3D">
      <w:pPr>
        <w:pStyle w:val="NormalWeb"/>
        <w:rPr>
          <w:rFonts w:ascii="Century Gothic" w:hAnsi="Century Gothic"/>
          <w:b/>
          <w:color w:val="000000"/>
        </w:rPr>
      </w:pPr>
      <w:r w:rsidRPr="00442D3D">
        <w:rPr>
          <w:rFonts w:ascii="Century Gothic" w:hAnsi="Century Gothic"/>
          <w:b/>
          <w:color w:val="000000"/>
        </w:rPr>
        <w:t>Principles</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 The designated Pupil Premium Lead (PPL) will be responsible for the informed use of the Pupil Premium Grant (PPG) and members of the Academy Leadership Team or wider staff (e.g. English and maths provision, welfare and inclusion support) will support as required.</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 A designated Pupil Premium governor will work with the PPL, and other staff where appropriate, to ensure that the Governing Body is directly involved in monitoring the use of Pupil Premium funding, and making decisions about provision.</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 We will ensure that teaching and learning opportunities meet the needs of all pupils, since our primary purpose is to ensure that quality first teaching (QFT) is provided throughout the academy, and we value the contribution that Pupil Premium funding is able to make to training for staff in key knowledge and skills.</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 We will ensure that appropriate provision is made for pupils who belong to vulnerable groups; this includes ensuring that the needs of socially disadvantaged pupils are adequately assessed and addressed.</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 We will identify the likely challenges (barriers to learning) for our Pupil Premium children and link them to desirable outcomes as the basis for choosing appropriate actions and approaches to address them.</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 In making provision for socially disadvantaged pupils, we recognise that not all pupils who receive, or have received, free school meals will be socially disadvantaged.</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 We recognise that not all pupils who are socially disadvantaged are registered or qualify for free school meals (FSM), so we will ensure that entitled parents and carers are supported sensitively in applying for the meals, but also therefore the additional funding.</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 For KS1 pupils, who all entitled to receive free school meals, we will liaise with the Local Authority to identify those who are eligible for Pupil Premium funding, and make this clear to parents and carers of pupils in EYFS and KS1, especially where they mistakenly believe that eligibility for Early Years Pupil Premium (EYPP) will carry forward.</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 Pupil Premium funding will be nominally allocated to those pupils who are eligible, including proportional funding of strategies accessed by Pupil Premium and non-Pupil Premium children alike.</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 The majority of our work through the Pupil Premium will be aimed at accelerating progress, moving children to at least age related expectations (ARE) especially in English and maths, but even further where they have the potential to achieve beyond ARE.</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 We will also use Pupil Premium in areas where eligible pupils show a particular aptitude, but where their parents’ financial circumstances prevent them from accessing specialist coaching or instruction.</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 The Pupil Premium funding will be allocated to a series of interventions grouped progressively, the ultimate outcome of which will be that pupils will achieve their academic and personal potential (see detail below).</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 Funded interventions will include pastoral support where appropriate e.g. attendance support, family liaison, development of social skills (see detail below).</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 Additional provision for SEND (special educational needs and disabilities) pupils will be funded through a combination of any SEND funding and their Pupil Premium allocation where applicable.</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 We will constantly monitor the effectiveness of actions and approaches used and review provision in the light of tracking data and other evidence (e.g. Target Tracker, individual intervention impact reports, Pupil Progress Meetings, assessment and financial systems)</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 We will involve the widest possible group of appropriate stakeholders, especially members of the staff team, the Governing Body, pupils and their families, in making suggestions about how to spend Pupil Premium and in evaluating their outcomes.</w:t>
      </w:r>
    </w:p>
    <w:p w:rsidR="00442D3D" w:rsidRPr="00442D3D" w:rsidRDefault="00442D3D" w:rsidP="00442D3D">
      <w:pPr>
        <w:pStyle w:val="NormalWeb"/>
        <w:rPr>
          <w:rFonts w:ascii="Century Gothic" w:hAnsi="Century Gothic"/>
          <w:b/>
          <w:color w:val="000000"/>
        </w:rPr>
      </w:pPr>
      <w:r w:rsidRPr="00442D3D">
        <w:rPr>
          <w:rFonts w:ascii="Century Gothic" w:hAnsi="Century Gothic"/>
          <w:b/>
          <w:color w:val="000000"/>
        </w:rPr>
        <w:t>Provision</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In addition to maximising the overall quality of teaching and learning throughout the academy, the SLT and the Governing Body will consider evidence from a variety of sources, including MAT Pupil Premium strategic resources, internal data, external evaluative material such as the Education Endowment Foundation resources (</w:t>
      </w:r>
      <w:proofErr w:type="spellStart"/>
      <w:r w:rsidRPr="00442D3D">
        <w:rPr>
          <w:rFonts w:ascii="Century Gothic" w:hAnsi="Century Gothic"/>
          <w:color w:val="000000"/>
        </w:rPr>
        <w:t>eg</w:t>
      </w:r>
      <w:proofErr w:type="spellEnd"/>
      <w:r w:rsidRPr="00442D3D">
        <w:rPr>
          <w:rFonts w:ascii="Century Gothic" w:hAnsi="Century Gothic"/>
          <w:color w:val="000000"/>
        </w:rPr>
        <w:t xml:space="preserve"> The Teaching and Learning Toolkit), and visits to other</w:t>
      </w:r>
    </w:p>
    <w:p w:rsidR="00442D3D" w:rsidRPr="00442D3D" w:rsidRDefault="00442D3D" w:rsidP="00442D3D">
      <w:pPr>
        <w:pStyle w:val="NormalWeb"/>
        <w:rPr>
          <w:rFonts w:ascii="Century Gothic" w:hAnsi="Century Gothic"/>
          <w:color w:val="000000"/>
        </w:rPr>
      </w:pPr>
      <w:proofErr w:type="gramStart"/>
      <w:r w:rsidRPr="00442D3D">
        <w:rPr>
          <w:rFonts w:ascii="Century Gothic" w:hAnsi="Century Gothic"/>
          <w:color w:val="000000"/>
        </w:rPr>
        <w:t>settings</w:t>
      </w:r>
      <w:proofErr w:type="gramEnd"/>
      <w:r w:rsidRPr="00442D3D">
        <w:rPr>
          <w:rFonts w:ascii="Century Gothic" w:hAnsi="Century Gothic"/>
          <w:color w:val="000000"/>
        </w:rPr>
        <w:t>, when choosing which of the following actions and approaches will be appropriate for a particular group of Pupil Premium children, or an individual pupil:</w:t>
      </w:r>
    </w:p>
    <w:p w:rsidR="00442D3D" w:rsidRPr="00442D3D" w:rsidRDefault="00442D3D" w:rsidP="00442D3D">
      <w:pPr>
        <w:pStyle w:val="NormalWeb"/>
        <w:rPr>
          <w:rFonts w:ascii="Century Gothic" w:hAnsi="Century Gothic"/>
          <w:b/>
          <w:color w:val="000000"/>
        </w:rPr>
      </w:pPr>
      <w:r w:rsidRPr="00442D3D">
        <w:rPr>
          <w:rFonts w:ascii="Century Gothic" w:hAnsi="Century Gothic"/>
          <w:b/>
          <w:color w:val="000000"/>
        </w:rPr>
        <w:t>Group Examples</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1 Family Engagement · Breakfast Club · Pastoral team and open door approach</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2 Attendance · Breakfast Club · Attendance mentor · Reward certificates and competition</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3 Engagement in Learning</w:t>
      </w:r>
      <w:r>
        <w:rPr>
          <w:rFonts w:ascii="Century Gothic" w:hAnsi="Century Gothic"/>
          <w:color w:val="000000"/>
        </w:rPr>
        <w:t xml:space="preserve"> </w:t>
      </w:r>
      <w:r w:rsidRPr="00442D3D">
        <w:rPr>
          <w:rFonts w:ascii="Century Gothic" w:hAnsi="Century Gothic"/>
          <w:color w:val="000000"/>
        </w:rPr>
        <w:t>and widening experiences · Educational visits, · Visitors (</w:t>
      </w:r>
      <w:proofErr w:type="spellStart"/>
      <w:r w:rsidRPr="00442D3D">
        <w:rPr>
          <w:rFonts w:ascii="Century Gothic" w:hAnsi="Century Gothic"/>
          <w:color w:val="000000"/>
        </w:rPr>
        <w:t>eg</w:t>
      </w:r>
      <w:proofErr w:type="spellEnd"/>
      <w:r w:rsidRPr="00442D3D">
        <w:rPr>
          <w:rFonts w:ascii="Century Gothic" w:hAnsi="Century Gothic"/>
          <w:color w:val="000000"/>
        </w:rPr>
        <w:t xml:space="preserve"> theatre companies, inspirational speakers) · Lifestyle initiatives (</w:t>
      </w:r>
      <w:proofErr w:type="spellStart"/>
      <w:r w:rsidRPr="00442D3D">
        <w:rPr>
          <w:rFonts w:ascii="Century Gothic" w:hAnsi="Century Gothic"/>
          <w:color w:val="000000"/>
        </w:rPr>
        <w:t>eg</w:t>
      </w:r>
      <w:proofErr w:type="spellEnd"/>
      <w:r w:rsidRPr="00442D3D">
        <w:rPr>
          <w:rFonts w:ascii="Century Gothic" w:hAnsi="Century Gothic"/>
          <w:color w:val="000000"/>
        </w:rPr>
        <w:t xml:space="preserve"> </w:t>
      </w:r>
      <w:r>
        <w:rPr>
          <w:rFonts w:ascii="Century Gothic" w:hAnsi="Century Gothic"/>
          <w:color w:val="000000"/>
        </w:rPr>
        <w:t>Pupil Parliament</w:t>
      </w:r>
      <w:r w:rsidRPr="00442D3D">
        <w:rPr>
          <w:rFonts w:ascii="Century Gothic" w:hAnsi="Century Gothic"/>
          <w:color w:val="000000"/>
        </w:rPr>
        <w:t>) · Staffing of after-school clubs · Transition support</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4 Accelerated Progress · Pre-breakfast boosters (from Easter) and after-school boosters (</w:t>
      </w:r>
      <w:proofErr w:type="spellStart"/>
      <w:r w:rsidRPr="00442D3D">
        <w:rPr>
          <w:rFonts w:ascii="Century Gothic" w:hAnsi="Century Gothic"/>
          <w:color w:val="000000"/>
        </w:rPr>
        <w:t>eg</w:t>
      </w:r>
      <w:proofErr w:type="spellEnd"/>
      <w:r w:rsidRPr="00442D3D">
        <w:rPr>
          <w:rFonts w:ascii="Century Gothic" w:hAnsi="Century Gothic"/>
          <w:color w:val="000000"/>
        </w:rPr>
        <w:t xml:space="preserve"> maths) · Providing small group work with an experienced </w:t>
      </w:r>
      <w:r>
        <w:rPr>
          <w:rFonts w:ascii="Century Gothic" w:hAnsi="Century Gothic"/>
          <w:color w:val="000000"/>
        </w:rPr>
        <w:t>TAs and Teachers</w:t>
      </w:r>
      <w:r w:rsidRPr="00442D3D">
        <w:rPr>
          <w:rFonts w:ascii="Century Gothic" w:hAnsi="Century Gothic"/>
          <w:color w:val="000000"/>
        </w:rPr>
        <w:t xml:space="preserve"> focused on overcoming gaps in learning · Pupil conferencing with a class teacher · Additional staffing in specific targeted year groups · Additional group teaching and learning opportunities provided by tra</w:t>
      </w:r>
      <w:r>
        <w:rPr>
          <w:rFonts w:ascii="Century Gothic" w:hAnsi="Century Gothic"/>
          <w:color w:val="000000"/>
        </w:rPr>
        <w:t xml:space="preserve">ined TAs or external agencies </w:t>
      </w:r>
      <w:r w:rsidRPr="00442D3D">
        <w:rPr>
          <w:rFonts w:ascii="Century Gothic" w:hAnsi="Century Gothic"/>
          <w:color w:val="000000"/>
        </w:rPr>
        <w:t>· Staff CPD for outstanding teaching and high-impact interventions (e.g. Visible Learning)</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5 Pupils as enablers · Monitor and mentor opportunities for pupils (e.g. Y</w:t>
      </w:r>
      <w:r>
        <w:rPr>
          <w:rFonts w:ascii="Century Gothic" w:hAnsi="Century Gothic"/>
          <w:color w:val="000000"/>
        </w:rPr>
        <w:t>6 prefects</w:t>
      </w:r>
      <w:r w:rsidRPr="00442D3D">
        <w:rPr>
          <w:rFonts w:ascii="Century Gothic" w:hAnsi="Century Gothic"/>
          <w:color w:val="000000"/>
        </w:rPr>
        <w:t>)</w:t>
      </w:r>
    </w:p>
    <w:p w:rsidR="00442D3D" w:rsidRPr="00442D3D" w:rsidRDefault="00442D3D" w:rsidP="00442D3D">
      <w:pPr>
        <w:pStyle w:val="NormalWeb"/>
        <w:rPr>
          <w:rFonts w:ascii="Century Gothic" w:hAnsi="Century Gothic"/>
          <w:b/>
          <w:color w:val="000000"/>
        </w:rPr>
      </w:pPr>
      <w:r w:rsidRPr="00442D3D">
        <w:rPr>
          <w:rFonts w:ascii="Century Gothic" w:hAnsi="Century Gothic"/>
          <w:b/>
          <w:color w:val="000000"/>
        </w:rPr>
        <w:t>Reporting</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 xml:space="preserve">It will be the responsibility of the </w:t>
      </w:r>
      <w:proofErr w:type="spellStart"/>
      <w:r w:rsidRPr="00442D3D">
        <w:rPr>
          <w:rFonts w:ascii="Century Gothic" w:hAnsi="Century Gothic"/>
          <w:color w:val="000000"/>
        </w:rPr>
        <w:t>Headteacher</w:t>
      </w:r>
      <w:proofErr w:type="spellEnd"/>
      <w:r w:rsidRPr="00442D3D">
        <w:rPr>
          <w:rFonts w:ascii="Century Gothic" w:hAnsi="Century Gothic"/>
          <w:color w:val="000000"/>
        </w:rPr>
        <w:t xml:space="preserve"> to produce termly Pupil Premium reports for the Governing Body, including the following:</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 xml:space="preserve">· </w:t>
      </w:r>
      <w:proofErr w:type="gramStart"/>
      <w:r w:rsidRPr="00442D3D">
        <w:rPr>
          <w:rFonts w:ascii="Century Gothic" w:hAnsi="Century Gothic"/>
          <w:color w:val="000000"/>
        </w:rPr>
        <w:t>an</w:t>
      </w:r>
      <w:proofErr w:type="gramEnd"/>
      <w:r w:rsidRPr="00442D3D">
        <w:rPr>
          <w:rFonts w:ascii="Century Gothic" w:hAnsi="Century Gothic"/>
          <w:color w:val="000000"/>
        </w:rPr>
        <w:t xml:space="preserve"> account of the progress made towards closing gaps for socially disadvantaged pupils (Pupil Premium against non-Pupil Premium pupils);</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 xml:space="preserve">· </w:t>
      </w:r>
      <w:proofErr w:type="gramStart"/>
      <w:r w:rsidRPr="00442D3D">
        <w:rPr>
          <w:rFonts w:ascii="Century Gothic" w:hAnsi="Century Gothic"/>
          <w:color w:val="000000"/>
        </w:rPr>
        <w:t>an</w:t>
      </w:r>
      <w:proofErr w:type="gramEnd"/>
      <w:r w:rsidRPr="00442D3D">
        <w:rPr>
          <w:rFonts w:ascii="Century Gothic" w:hAnsi="Century Gothic"/>
          <w:color w:val="000000"/>
        </w:rPr>
        <w:t xml:space="preserve"> outline of any changes to provision that have been made since the last meeting;</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 an evaluation of the cost effectiveness, in terms of the progress made by the pupils receiving a particular provision, when compared with other forms of support (using attendance, attitudinal and academic measures depending on the approach used).</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 xml:space="preserve">The </w:t>
      </w:r>
      <w:proofErr w:type="spellStart"/>
      <w:r w:rsidRPr="00442D3D">
        <w:rPr>
          <w:rFonts w:ascii="Century Gothic" w:hAnsi="Century Gothic"/>
          <w:color w:val="000000"/>
        </w:rPr>
        <w:t>headteacher</w:t>
      </w:r>
      <w:proofErr w:type="spellEnd"/>
      <w:r w:rsidRPr="00442D3D">
        <w:rPr>
          <w:rFonts w:ascii="Century Gothic" w:hAnsi="Century Gothic"/>
          <w:color w:val="000000"/>
        </w:rPr>
        <w:t xml:space="preserve"> will ensure that a Pupil Premium Strategy statement is published by December 31st each year, with termly updates showing developments and effectiveness where data is available. This document will showing the likely challenges (barriers to learning) faced by eligible pupils, the actions and approaches chosen and the intended impact of these. Rationale or evidence for the choices made will also be included.</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 xml:space="preserve">A final version of the previous year’s PP Strategy will also be available on the website, outlining how Pupil Premium funding has been used to address the issue of closing the gap for ‘disadvantaged’ pupils, and what the impact has been. </w:t>
      </w:r>
      <w:proofErr w:type="gramStart"/>
      <w:r w:rsidRPr="00442D3D">
        <w:rPr>
          <w:rFonts w:ascii="Century Gothic" w:hAnsi="Century Gothic"/>
          <w:color w:val="000000"/>
        </w:rPr>
        <w:t>showing</w:t>
      </w:r>
      <w:proofErr w:type="gramEnd"/>
      <w:r w:rsidRPr="00442D3D">
        <w:rPr>
          <w:rFonts w:ascii="Century Gothic" w:hAnsi="Century Gothic"/>
          <w:color w:val="000000"/>
        </w:rPr>
        <w:t xml:space="preserve"> the likely barriers to learning for eligible pupils, the actions and approaches chosen and the intended impact of these. Rationale or evidence for the choices made will also be included.</w:t>
      </w:r>
    </w:p>
    <w:p w:rsidR="00442D3D" w:rsidRPr="007731F9" w:rsidRDefault="00442D3D" w:rsidP="00442D3D">
      <w:pPr>
        <w:pStyle w:val="NormalWeb"/>
        <w:rPr>
          <w:rFonts w:ascii="Century Gothic" w:hAnsi="Century Gothic"/>
          <w:b/>
          <w:color w:val="000000"/>
        </w:rPr>
      </w:pPr>
      <w:r w:rsidRPr="007731F9">
        <w:rPr>
          <w:rFonts w:ascii="Century Gothic" w:hAnsi="Century Gothic"/>
          <w:b/>
          <w:color w:val="000000"/>
        </w:rPr>
        <w:t>Appeal</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Any appeals against this policy will be through the academy’s and trust’s complaints procedure.</w:t>
      </w:r>
    </w:p>
    <w:p w:rsidR="00442D3D" w:rsidRPr="007731F9" w:rsidRDefault="00442D3D" w:rsidP="00442D3D">
      <w:pPr>
        <w:pStyle w:val="NormalWeb"/>
        <w:rPr>
          <w:rFonts w:ascii="Century Gothic" w:hAnsi="Century Gothic"/>
          <w:b/>
          <w:color w:val="000000"/>
        </w:rPr>
      </w:pPr>
      <w:r w:rsidRPr="007731F9">
        <w:rPr>
          <w:rFonts w:ascii="Century Gothic" w:hAnsi="Century Gothic"/>
          <w:b/>
          <w:color w:val="000000"/>
        </w:rPr>
        <w:t>Review</w:t>
      </w:r>
    </w:p>
    <w:p w:rsidR="00442D3D" w:rsidRPr="00442D3D" w:rsidRDefault="00442D3D" w:rsidP="00442D3D">
      <w:pPr>
        <w:pStyle w:val="NormalWeb"/>
        <w:rPr>
          <w:rFonts w:ascii="Century Gothic" w:hAnsi="Century Gothic"/>
          <w:color w:val="000000"/>
        </w:rPr>
      </w:pPr>
      <w:r w:rsidRPr="00442D3D">
        <w:rPr>
          <w:rFonts w:ascii="Century Gothic" w:hAnsi="Century Gothic"/>
          <w:color w:val="000000"/>
        </w:rPr>
        <w:t>This policy will be reviewed annually in the light of any statutory or advisory changes (</w:t>
      </w:r>
      <w:proofErr w:type="spellStart"/>
      <w:r w:rsidRPr="00442D3D">
        <w:rPr>
          <w:rFonts w:ascii="Century Gothic" w:hAnsi="Century Gothic"/>
          <w:color w:val="000000"/>
        </w:rPr>
        <w:t>eg</w:t>
      </w:r>
      <w:proofErr w:type="spellEnd"/>
      <w:r w:rsidRPr="00442D3D">
        <w:rPr>
          <w:rFonts w:ascii="Century Gothic" w:hAnsi="Century Gothic"/>
          <w:color w:val="000000"/>
        </w:rPr>
        <w:t xml:space="preserve"> Ofsted Reports)</w:t>
      </w:r>
    </w:p>
    <w:p w:rsidR="0011030D" w:rsidRPr="00442D3D" w:rsidRDefault="007731F9">
      <w:pPr>
        <w:spacing w:line="223" w:lineRule="exact"/>
        <w:rPr>
          <w:rFonts w:ascii="Century Gothic" w:eastAsia="Times New Roman" w:hAnsi="Century Gothic"/>
          <w:sz w:val="24"/>
          <w:szCs w:val="24"/>
        </w:rPr>
      </w:pPr>
      <w:r>
        <w:rPr>
          <w:rFonts w:ascii="Century Gothic" w:eastAsia="Times New Roman" w:hAnsi="Century Gothic"/>
          <w:sz w:val="24"/>
          <w:szCs w:val="24"/>
        </w:rPr>
        <w:t>Spring term 2028</w:t>
      </w:r>
    </w:p>
    <w:sectPr w:rsidR="0011030D" w:rsidRPr="00442D3D">
      <w:pgSz w:w="16840" w:h="11906" w:orient="landscape"/>
      <w:pgMar w:top="1438" w:right="1440" w:bottom="902" w:left="1440" w:header="0" w:footer="0" w:gutter="0"/>
      <w:cols w:space="0" w:equalWidth="0">
        <w:col w:w="13958"/>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9A0"/>
    <w:rsid w:val="0011030D"/>
    <w:rsid w:val="001F75B5"/>
    <w:rsid w:val="00222003"/>
    <w:rsid w:val="00442D3D"/>
    <w:rsid w:val="007731F9"/>
    <w:rsid w:val="009129A0"/>
    <w:rsid w:val="00C334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28FA4E1-D23A-44CD-8645-7A505D30A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2D3D"/>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447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bm\Desktop\owe-admissions-polic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owe-admissions-policy</Template>
  <TotalTime>0</TotalTime>
  <Pages>6</Pages>
  <Words>1460</Words>
  <Characters>7898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9340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SBM</dc:creator>
  <cp:keywords/>
  <cp:lastModifiedBy>Sarah Currie</cp:lastModifiedBy>
  <cp:revision>2</cp:revision>
  <dcterms:created xsi:type="dcterms:W3CDTF">2025-12-02T12:50:00Z</dcterms:created>
  <dcterms:modified xsi:type="dcterms:W3CDTF">2025-12-02T12:50:00Z</dcterms:modified>
</cp:coreProperties>
</file>